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eastAsia="Times New Roman" w:cs="Tahoma"/>
        </w:rPr>
      </w:pPr>
      <w:bookmarkStart w:id="0" w:name="_GoBack"/>
      <w:bookmarkEnd w:id="0"/>
      <w:r>
        <w:rPr>
          <w:rFonts w:eastAsia="Times New Roman" w:cs="Tahoma" w:ascii="Tahoma" w:hAnsi="Tahoma"/>
        </w:rPr>
        <w:t>Recepimento dell'Ordinanza regionale n. 532 del 24 aprile 2020 e modifica</w:t>
      </w:r>
      <w:r>
        <w:rPr>
          <w:rFonts w:cs="Tahoma" w:ascii="Tahoma" w:hAnsi="Tahoma"/>
        </w:rPr>
        <w:t xml:space="preserve"> </w:t>
      </w:r>
      <w:r>
        <w:rPr>
          <w:rFonts w:eastAsia="Times New Roman" w:cs="Tahoma" w:ascii="Tahoma" w:hAnsi="Tahoma"/>
        </w:rPr>
        <w:t>delle Ordinanze contingibili e urgenti n. 40 registro generale del 10/03/2020 e</w:t>
      </w:r>
      <w:r>
        <w:rPr>
          <w:rFonts w:cs="Tahoma" w:ascii="Tahoma" w:hAnsi="Tahoma"/>
        </w:rPr>
        <w:t xml:space="preserve"> </w:t>
      </w:r>
      <w:r>
        <w:rPr>
          <w:rFonts w:eastAsia="Times New Roman" w:cs="Tahoma" w:ascii="Tahoma" w:hAnsi="Tahoma"/>
        </w:rPr>
        <w:t>n. 42 registro generale del 19/03/2020 adott</w:t>
      </w:r>
      <w:r>
        <w:rPr>
          <w:rFonts w:cs="Tahoma" w:ascii="Tahoma" w:hAnsi="Tahoma"/>
        </w:rPr>
        <w:t xml:space="preserve">ate ai sensi dell’art. 50 comma </w:t>
      </w:r>
      <w:r>
        <w:rPr>
          <w:rFonts w:eastAsia="Times New Roman" w:cs="Tahoma" w:ascii="Tahoma" w:hAnsi="Tahoma"/>
        </w:rPr>
        <w:t>del D.lgs. 267/2000 e relative all</w:t>
      </w:r>
      <w:r>
        <w:rPr>
          <w:rFonts w:cs="Tahoma" w:ascii="Tahoma" w:hAnsi="Tahoma"/>
        </w:rPr>
        <w:t>’</w:t>
      </w:r>
      <w:r>
        <w:rPr>
          <w:rFonts w:eastAsia="Times New Roman" w:cs="Tahoma" w:ascii="Tahoma" w:hAnsi="Tahoma"/>
        </w:rPr>
        <w:t>adozione di misure eccezionali volte a</w:t>
      </w:r>
      <w:r>
        <w:rPr>
          <w:rFonts w:cs="Tahoma" w:ascii="Tahoma" w:hAnsi="Tahoma"/>
        </w:rPr>
        <w:t xml:space="preserve"> </w:t>
      </w:r>
      <w:r>
        <w:rPr>
          <w:rFonts w:eastAsia="Times New Roman" w:cs="Tahoma" w:ascii="Tahoma" w:hAnsi="Tahoma"/>
        </w:rPr>
        <w:t>contrastare la diffusione del contagio da COVID-19.</w:t>
      </w:r>
    </w:p>
    <w:p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VerdanaUnicode" w:hAnsi="VerdanaUnicode" w:eastAsia="VerdanaUnicode" w:cs="VerdanaUnicode" w:hAnsiTheme="minorHAnsi"/>
          <w:sz w:val="22"/>
          <w:szCs w:val="22"/>
        </w:rPr>
      </w:pPr>
      <w:r>
        <w:rPr>
          <w:rFonts w:eastAsia="VerdanaUnicode" w:cs="VerdanaUnicode" w:hAnsiTheme="minorHAnsi" w:ascii="VerdanaUnicode" w:hAnsi="VerdanaUnicode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rFonts w:cs="Tahoma" w:ascii="Tahoma" w:hAnsi="Tahoma"/>
          <w:b/>
        </w:rPr>
        <w:t>Visti:</w:t>
      </w:r>
      <w:r>
        <w:rPr>
          <w:b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la deliberazione del Consiglio dei ministri del 31 gennaio 2020, con la quale è stato dichiarato, per sei mesi, lo stato di emergenza sul territorio nazionale relativo al rischio sanitario connesso all'insorgenza di patologie derivanti da agenti virali trasmissibili;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decreto-legge 23 febbraio 2020, n. 6, recante «</w:t>
      </w:r>
      <w:r>
        <w:rPr>
          <w:rFonts w:cs="Tahoma" w:ascii="Tahoma" w:hAnsi="Tahoma"/>
          <w:i/>
          <w:sz w:val="24"/>
          <w:szCs w:val="24"/>
        </w:rPr>
        <w:t>Misure urgenti in materia di contenimento e gestione dell'emergenza epidemiologica da COVID-19</w:t>
      </w:r>
      <w:r>
        <w:rPr>
          <w:rFonts w:cs="Tahoma" w:ascii="Tahoma" w:hAnsi="Tahoma"/>
          <w:sz w:val="24"/>
          <w:szCs w:val="24"/>
        </w:rPr>
        <w:t>» convertito con modificazioni in Legge 5 marzo 2020 n. 13;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23 febbraio 2020, recante «</w:t>
      </w:r>
      <w:r>
        <w:rPr>
          <w:rFonts w:cs="Tahoma" w:ascii="Tahoma" w:hAnsi="Tahoma"/>
          <w:i/>
          <w:sz w:val="24"/>
          <w:szCs w:val="24"/>
        </w:rPr>
        <w:t>Disposizioni attuative del decreto-legge 23 febbraio 2020, n. 6, recante misure urgenti in materia di contenimento e gestione dell'emergenza epidemiologica da COVID-19</w:t>
      </w:r>
      <w:r>
        <w:rPr>
          <w:rFonts w:cs="Tahoma" w:ascii="Tahoma" w:hAnsi="Tahoma"/>
          <w:sz w:val="24"/>
          <w:szCs w:val="24"/>
        </w:rPr>
        <w:t>», pubblicato nella Gazzetta Ufficiale n. 45 del 23 febbraio 2020;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25 febbraio 2020, recante «</w:t>
      </w:r>
      <w:r>
        <w:rPr>
          <w:rFonts w:cs="Tahoma" w:ascii="Tahoma" w:hAnsi="Tahoma"/>
          <w:i/>
          <w:sz w:val="24"/>
          <w:szCs w:val="24"/>
        </w:rPr>
        <w:t>Ulteriori disposizioni attuative del decreto-legge 23 febbraio 2020, n. 6, recante misure urgenti in materia di contenimento e gestione dell'emergenze epidemiologica da COVID-19</w:t>
      </w:r>
      <w:r>
        <w:rPr>
          <w:rFonts w:cs="Tahoma" w:ascii="Tahoma" w:hAnsi="Tahoma"/>
          <w:sz w:val="24"/>
          <w:szCs w:val="24"/>
        </w:rPr>
        <w:t>», pubblicato nella Gazzetta Ufficiale n. 47 del 25 febbraio 2020;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1° marzo 2020, recante «</w:t>
      </w:r>
      <w:r>
        <w:rPr>
          <w:rFonts w:cs="Tahoma" w:ascii="Tahoma" w:hAnsi="Tahoma"/>
          <w:i/>
          <w:sz w:val="24"/>
          <w:szCs w:val="24"/>
        </w:rPr>
        <w:t>Ulteriori disposizioni attuative del decreto-legge 23 febbraio 2020, n. 6, recante misure urgenti in materia di contenimento e gestione dell'emergenza epidemiologica da COVID-19</w:t>
      </w:r>
      <w:r>
        <w:rPr>
          <w:rFonts w:cs="Tahoma" w:ascii="Tahoma" w:hAnsi="Tahoma"/>
          <w:sz w:val="24"/>
          <w:szCs w:val="24"/>
        </w:rPr>
        <w:t>», pubblicato nella Gazzetta Ufficiale n. 52 del 1° marzo 2020);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4 marzo 2020, recante «</w:t>
      </w:r>
      <w:r>
        <w:rPr>
          <w:rFonts w:cs="Tahoma" w:ascii="Tahoma" w:hAnsi="Tahoma"/>
          <w:i/>
          <w:sz w:val="24"/>
          <w:szCs w:val="24"/>
        </w:rPr>
        <w:t>Ulteriori disposizioni attuative del decreto-legge 23 febbraio 2020, n. 6, recante misure urgenti in materia di contenimento e gestione dell'emergenza epidemiologica da COVID-19, applicabili sull'intero territorio nazionale</w:t>
      </w:r>
      <w:r>
        <w:rPr>
          <w:rFonts w:cs="Tahoma" w:ascii="Tahoma" w:hAnsi="Tahoma"/>
          <w:sz w:val="24"/>
          <w:szCs w:val="24"/>
        </w:rPr>
        <w:t>», pubblicato nella Gazzetta Ufficiale n. 55 del 4 marzo 2020;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8 marzo 2020, recante «</w:t>
      </w:r>
      <w:r>
        <w:rPr>
          <w:rFonts w:cs="Tahoma" w:ascii="Tahoma" w:hAnsi="Tahoma"/>
          <w:i/>
          <w:sz w:val="24"/>
          <w:szCs w:val="24"/>
        </w:rPr>
        <w:t>Ulteriori disposizioni attuative del decreto-legge 23 febbraio 2020, n. 6, recante misure urgenti in materia di contenimento e gestione dell'emergenza epidemiologica da COVID-19</w:t>
      </w:r>
      <w:r>
        <w:rPr>
          <w:rFonts w:cs="Tahoma" w:ascii="Tahoma" w:hAnsi="Tahoma"/>
          <w:sz w:val="24"/>
          <w:szCs w:val="24"/>
        </w:rPr>
        <w:t>», pubblicato nella Gazzetta Ufficiale n. 59 dell'8 marzo 2020;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9 marzo 2020 recante «</w:t>
      </w:r>
      <w:r>
        <w:rPr>
          <w:rFonts w:cs="Tahoma" w:ascii="Tahoma" w:hAnsi="Tahoma"/>
          <w:i/>
          <w:sz w:val="24"/>
          <w:szCs w:val="24"/>
        </w:rPr>
        <w:t>Ulteriori misure per il contenimento e il contrasto del diffondersi del virus Covid19 sull'intero territorio nazionale</w:t>
      </w:r>
      <w:r>
        <w:rPr>
          <w:rFonts w:cs="Tahoma" w:ascii="Tahoma" w:hAnsi="Tahoma"/>
          <w:sz w:val="24"/>
          <w:szCs w:val="24"/>
        </w:rPr>
        <w:t>»;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decreto del Presidente del Consiglio dei ministri 11 marzo 2020, recante «</w:t>
      </w:r>
      <w:r>
        <w:rPr>
          <w:rFonts w:cs="Tahoma" w:ascii="Tahoma" w:hAnsi="Tahoma"/>
          <w:i/>
          <w:sz w:val="24"/>
          <w:szCs w:val="24"/>
        </w:rPr>
        <w:t>Ulteriori disposizioni attuative del decreto legge 23 febbraio 2020, n. 6, recante misure urgenti in materia di contenimento e gestione dell’emergenza epidemiologica da COVID-19, applicabili sull’intero territorio nazionale</w:t>
      </w:r>
      <w:r>
        <w:rPr>
          <w:rFonts w:cs="Tahoma" w:ascii="Tahoma" w:hAnsi="Tahoma"/>
          <w:sz w:val="24"/>
          <w:szCs w:val="24"/>
        </w:rPr>
        <w:t>»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Preso atto </w:t>
      </w:r>
      <w:r>
        <w:rPr>
          <w:rFonts w:cs="Tahoma" w:ascii="Tahoma" w:hAnsi="Tahoma"/>
        </w:rPr>
        <w:t xml:space="preserve">dei contenuti dell’Ordinanza di Regione Lombardia n. 532 del 24/04/2020 </w:t>
      </w:r>
      <w:r>
        <w:rPr>
          <w:rFonts w:cs="Tahoma" w:ascii="Tahoma" w:hAnsi="Tahoma"/>
          <w:i/>
        </w:rPr>
        <w:t>“Modifiche e integrazioni dell’Ordinanza n. 528 dell’11 aprile 2020 recante ‘Ulteriori misure per la prevenzione e gestione dell’emergenza epidemiologica da Covid–19</w:t>
      </w:r>
      <w:r>
        <w:rPr>
          <w:rFonts w:cs="Tahoma" w:ascii="Tahoma" w:hAnsi="Tahoma"/>
        </w:rPr>
        <w:t>”;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b/>
          <w:b/>
        </w:rPr>
      </w:pPr>
      <w:r>
        <w:rPr>
          <w:rFonts w:cs="Tahoma" w:ascii="Tahoma" w:hAnsi="Tahoma"/>
          <w:b/>
        </w:rPr>
        <w:t>Viste: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l’Ordinanza contingibile e urgente n° 42 registro generale del 19.03.2020, adottata ai sensi dell’art. 50 comma 5 del D.lgs. 267/2000 relativa all’adozione di misure eccezionali volte a contrastare la diffusione del contagio da COVID-19, con cui si disponeva, dall’entrata in vigore del provvedimento e fino al 3 aprile, la riattivazione del mercato settimanale scoperto del sabato in piazza Marconi per i soli generi alimentari;</w:t>
      </w:r>
    </w:p>
    <w:p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l’Ordinanza</w:t>
      </w:r>
      <w:r>
        <w:rPr>
          <w:rFonts w:cs="Tahoma" w:ascii="Tahoma" w:hAnsi="Tahoma"/>
          <w:color w:val="FF0000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contingibile e urgente n° 40 registro generale del 10.03.2020, adottata ai sensi dell’art. 50 comma 5 del D.lgs. 267/2000 relativa all’adozione di misure eccezionali volte a contrastare la diffusione del contagio da COVID-19 si disponeva la sospensione dei mercati settimanali scoperti;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Richiamato</w:t>
      </w:r>
      <w:r>
        <w:rPr>
          <w:rFonts w:cs="Tahoma" w:ascii="Tahoma" w:hAnsi="Tahoma"/>
        </w:rPr>
        <w:t xml:space="preserve"> l’art. 50 comma 5 del D. Lgs. n. 267/2000 Testo unico delle leggi sull’ordinamento degli enti locali;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ORDINA</w:t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 partire dal 29 aprile e fino al giorno 3 maggio p.v., fatte salve eventuali ulteriori proroghe o integrazioni che si rendessero necessarie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la riattivazione dei mercati settimanali scoperti di piazza Marconi (sabato), Vighizzolo (mercoledì), Cascina Amata (giovedì) e Mirabello (lunedì, in caso di proroga delle misure) fino alle ore 13.00, limitatamente alla vendita dei prodotti alimentari, alle condizioni definite nell’Ordinanza regionale 532/2020 e di seguito riportate e integrate: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posizionamento dei banchi di vendita secondo le planimetrie A (Cantù Centro - Piazza Marconi), B (Vighizzolo), C (Cascina Amata) e D (Mirabello) allegate; 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assegnazione temporanea dei posteggi come da planimetrie allegate e nel numero di seguito precisato di posteggi assegnati ad operatori del settore alimentare:</w:t>
      </w:r>
    </w:p>
    <w:p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Mercato Cantù Centro: n. 19 posteggi (di cui n. 2 posteggi doppi assegnati al medesimo operatore);</w:t>
      </w:r>
    </w:p>
    <w:p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Mercato di Vighizzolo: n. 14 posteggi;</w:t>
      </w:r>
    </w:p>
    <w:p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Mercato di Cascina Amata: n. 2 posteggi;</w:t>
      </w:r>
    </w:p>
    <w:p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Mercato di Mirabello: n. 2 posteggi;</w:t>
      </w:r>
    </w:p>
    <w:p>
      <w:pPr>
        <w:pStyle w:val="ListParagraph"/>
        <w:ind w:left="795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dando atto che la posizione in planimetria è indicativa e che resta fatta la salva la possibilità di riorganizzare il posizionamento delle attrezzature di vendita da parte del personale di Polizia Locale in funzione degli operatori effettivamente presenti;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assegnazione tramite spunta di eventuali posteggi liberi a operatori del settore alimentare, fino al concorrere del numero massimo di posteggi indicati al punto 2; 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capienza massima di persone contemporaneamente presenti all’interno delle due aree comunque non superiori al doppio del numero dei posteggi di volta in volta occupati dagli operatori presenti;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assegnazione delle funzioni di “Covid Manager” di cui all’art 1 lettera b) dell’Ordinanza n. 532 del 24/04/2020 al funzionario di Polizia Locale individuato, con il supporto di un volontario della Protezione Civile, con compiti di coordinamento del personale addetto, assistenza a clienti e operatori del mercato e attuazione delle misure di cui alla presente ordinanza;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limitazione del perimetro esterno delle aree di mercato con transenne, o nastro bicolore, o altri strumenti in modo che vi sia un unico varco di accesso separato da quello dell’uscita dalla singola area di mercato;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segnaletica nei dintorni dell’area di mercato che indirizzino gli utenti ai varchi di accesso e uscita;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accesso alle singole aree di mercato consentito ad un solo componente per nucleo familiare, con l’unica possibilità di portare con sé minori di 14 anni, disabili o anziani, con l’obiettivo di ridurre i rischi di diffusione del contagio da Covid-19;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rilevazione con strumentazione opportuna, da parte del personale comunale, della temperatura corporea degli utenti e degli operatori commerciali dei due mercati prima del loro accesso  e divieto di accesso all’area, a seguito di rilevazione di una temperatura corporea uguale o superiore a 37,5°C e contestuale invito a rientrare presso la propria abitazione, contattare il medico curante limitando al massimo i contatti sociali;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messa a disposizione, a cura degli operatori commerciali dei due mercati, di idonee soluzioni idroalcoliche per le mani e di guanti “usa e getta”, questi ultimi da usarsi obbligatoriamente;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obbligo di utilizzo, da parte degli operatori commerciali dei due mercati, di mascherina a copertura di bocca e naso, nonché di guanti;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distanziamento di tre metri tra le attrezzature di vendita dei singoli operatori dei mercati;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presenza di non più di due operatori per ogni posteggio;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rispetto, sia all’interno dell’area del mercato sia per i clienti in attesa di accesso all’area, del distanziamento interpersonale di almeno un metro e del divieto di assembramenti, rispetto al quale Confesercenti Como ed i singoli titolari di posteggio adotteranno ulteriori ed idonee misure di mantenimento di tale distanza interpersonale tra le persone in attesa dell’accesso all’area di vendita o di essere servite;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AVVERTE CHE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la violazione delle prescrizioni della presente ordinanza è soggetta, fatti salvi eventuali ed ulteriori illeciti amministrativi e penali che si dovessero sorgere, alla sanzione di cui all’articolo 650 codice penale.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DEMANDA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Alla Polizia Locale ed alle Forze di Polizia il controllo sul rispetto della presente ordinanza.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MANDA PER OPPORTUNA CONOSCENZA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</w:rPr>
        <w:t>Al Sig. Prefetto della Provincia di Como per il coordinamento delle Forze di Polizia in ordine alle competenze di prevenzione e controllo del rispetto delle misure adottate per contenere l’emergenza epidemiologica da COVID-19;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  <w:bCs/>
          <w:iCs/>
        </w:rPr>
        <w:t>al Sig. Questore della Provincia di Como;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  <w:bCs/>
          <w:iCs/>
        </w:rPr>
        <w:t>al Sig. Comandante la Compagnia dei Carabinieri di Cantù;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Cs/>
          <w:iCs/>
          <w:sz w:val="24"/>
          <w:szCs w:val="24"/>
        </w:rPr>
        <w:t>al Sig. Comandante la Compagnia della Guardia di Finanza di Erba</w:t>
      </w:r>
      <w:r>
        <w:rPr>
          <w:rFonts w:cs="Tahoma" w:ascii="Tahoma" w:hAnsi="Tahoma"/>
          <w:sz w:val="24"/>
          <w:szCs w:val="24"/>
        </w:rPr>
        <w:t xml:space="preserve"> Polizia Locale,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ad A.T.S. Insubria, Servizio Igiene e Sanità pubblica, via Pessina, n.6, Como;</w:t>
      </w:r>
    </w:p>
    <w:p>
      <w:pPr>
        <w:pStyle w:val="Normal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  <w:bCs/>
          <w:iCs/>
        </w:rPr>
        <w:t>Avverso il presente provvedimento è ammesso:</w:t>
      </w:r>
    </w:p>
    <w:p>
      <w:pPr>
        <w:pStyle w:val="Normal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  <w:bCs/>
          <w:iCs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rFonts w:ascii="Tahoma" w:hAnsi="Tahoma" w:cs="Tahoma"/>
          <w:bCs/>
          <w:iCs/>
        </w:rPr>
      </w:pPr>
      <w:r>
        <w:rPr>
          <w:rFonts w:cs="Tahoma" w:ascii="Tahoma" w:hAnsi="Tahoma"/>
          <w:bCs/>
          <w:iCs/>
        </w:rPr>
        <w:t>ricorso al Tribunale Amministrativo Regionale della Lombardia entro i termini previsti dalla Legge 6 dicembre 1971, n. 1034  così come modificata dal D.Lgs n. 104/2010;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rFonts w:ascii="Tahoma" w:hAnsi="Tahoma" w:cs="Tahoma"/>
        </w:rPr>
      </w:pPr>
      <w:r>
        <w:rPr>
          <w:rFonts w:cs="Tahoma" w:ascii="Tahoma" w:hAnsi="Tahoma"/>
          <w:bCs/>
          <w:iCs/>
        </w:rPr>
        <w:t>ricorso straordinario al Presidente della Repubblica ai sensi del D.P.R. 24 novembre 1971 n. 1199 entro  120 giorni.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Unicode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95" w:hanging="360"/>
      </w:pPr>
      <w:rPr>
        <w:sz w:val="24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sz w:val="24"/>
        <w:rFonts w:ascii="Tahoma" w:hAnsi="Tahoma"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ListLabel1">
    <w:name w:val="ListLabel 1"/>
    <w:qFormat/>
    <w:rPr>
      <w:rFonts w:ascii="Tahoma" w:hAnsi="Tahoma" w:eastAsia="Times New Roman"/>
      <w:b/>
      <w:sz w:val="24"/>
    </w:rPr>
  </w:style>
  <w:style w:type="character" w:styleId="ListLabel2">
    <w:name w:val="ListLabel 2"/>
    <w:qFormat/>
    <w:rPr>
      <w:rFonts w:ascii="Tahoma" w:hAnsi="Tahoma" w:cs="Times New Roman"/>
      <w:b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ahoma" w:hAnsi="Tahoma" w:cs="Times New Roman"/>
      <w:sz w:val="24"/>
    </w:rPr>
  </w:style>
  <w:style w:type="character" w:styleId="ListLabel12">
    <w:name w:val="ListLabel 12"/>
    <w:qFormat/>
    <w:rPr>
      <w:rFonts w:ascii="Tahoma" w:hAnsi="Tahoma" w:cs="Times New Roman"/>
      <w:sz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797f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3</Pages>
  <Words>1372</Words>
  <Characters>7881</Characters>
  <CharactersWithSpaces>9178</CharactersWithSpaces>
  <Paragraphs>51</Paragraphs>
  <Company>Halley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2020-04-28T10:09:00Z</dcterms:created>
  <dc:creator>Erminio</dc:creator>
  <dc:description/>
  <dc:language>it-IT</dc:language>
  <cp:lastModifiedBy>Serena Monti</cp:lastModifiedBy>
  <dcterms:modified xsi:type="dcterms:W3CDTF">2020-04-28T10:10:00Z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Halley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